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C45A9" w14:textId="6986AEC4" w:rsidR="00EE5E77" w:rsidRPr="00E62598" w:rsidRDefault="00EE5E77" w:rsidP="00EE5E77">
      <w:pPr>
        <w:jc w:val="center"/>
        <w:rPr>
          <w:sz w:val="28"/>
          <w:szCs w:val="28"/>
        </w:rPr>
      </w:pPr>
      <w:r w:rsidRPr="00E62598">
        <w:rPr>
          <w:sz w:val="28"/>
          <w:szCs w:val="28"/>
        </w:rPr>
        <w:t>Changed behaviours associated with dementia</w:t>
      </w:r>
      <w:r w:rsidR="003D43C4" w:rsidRPr="00E62598">
        <w:rPr>
          <w:sz w:val="28"/>
          <w:szCs w:val="28"/>
        </w:rPr>
        <w:t xml:space="preserve"> Webinar</w:t>
      </w:r>
    </w:p>
    <w:p w14:paraId="63394C2B" w14:textId="126C43E8" w:rsidR="00EE5E77" w:rsidRDefault="00EE5E77" w:rsidP="00EE5E77">
      <w:pPr>
        <w:jc w:val="center"/>
      </w:pPr>
      <w:r>
        <w:t>Q&amp;A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E5E77" w14:paraId="5542F7C8" w14:textId="77777777" w:rsidTr="00D9691A">
        <w:tc>
          <w:tcPr>
            <w:tcW w:w="7694" w:type="dxa"/>
          </w:tcPr>
          <w:p w14:paraId="3030CEDC" w14:textId="2EA9BCE9" w:rsidR="00EE5E77" w:rsidRDefault="00EE5E77" w:rsidP="00D9691A">
            <w:pPr>
              <w:jc w:val="center"/>
            </w:pPr>
            <w:r>
              <w:t>Question</w:t>
            </w:r>
          </w:p>
        </w:tc>
        <w:tc>
          <w:tcPr>
            <w:tcW w:w="7694" w:type="dxa"/>
          </w:tcPr>
          <w:p w14:paraId="5B7C93E7" w14:textId="4783D64B" w:rsidR="00EE5E77" w:rsidRDefault="00EE5E77" w:rsidP="00D9691A">
            <w:pPr>
              <w:jc w:val="center"/>
            </w:pPr>
            <w:r>
              <w:t>Response</w:t>
            </w:r>
          </w:p>
        </w:tc>
      </w:tr>
      <w:tr w:rsidR="00EE5E77" w14:paraId="3DF9C91D" w14:textId="77777777" w:rsidTr="00D9691A">
        <w:tc>
          <w:tcPr>
            <w:tcW w:w="7694" w:type="dxa"/>
          </w:tcPr>
          <w:p w14:paraId="05289EF5" w14:textId="3A58D643" w:rsidR="00EE5E77" w:rsidRDefault="00D9691A" w:rsidP="00D9691A">
            <w:r>
              <w:t>W</w:t>
            </w:r>
            <w:r w:rsidRPr="00D9691A">
              <w:t>ould symptoms be worse in the late afternoon compared to early morning</w:t>
            </w:r>
          </w:p>
        </w:tc>
        <w:tc>
          <w:tcPr>
            <w:tcW w:w="7694" w:type="dxa"/>
          </w:tcPr>
          <w:p w14:paraId="0266D4AE" w14:textId="4BF9FB18" w:rsidR="00EE5E77" w:rsidRDefault="00173A26" w:rsidP="00173A26">
            <w:r>
              <w:t>“Sundowning” where symptoms are worse in the late afternoon, is common in dementia</w:t>
            </w:r>
          </w:p>
        </w:tc>
      </w:tr>
      <w:tr w:rsidR="00DA43CB" w14:paraId="3FA79514" w14:textId="77777777" w:rsidTr="00D9691A">
        <w:tc>
          <w:tcPr>
            <w:tcW w:w="7694" w:type="dxa"/>
          </w:tcPr>
          <w:p w14:paraId="32A53654" w14:textId="3DE95F3D" w:rsidR="00DA43CB" w:rsidRDefault="00DA43CB" w:rsidP="00D9691A">
            <w:r w:rsidRPr="00D9691A">
              <w:t>In the field of dementia care, is there a preferred model of support for problematic behaviours: e.g., Newcastle model, Positive Behaviour Support?</w:t>
            </w:r>
          </w:p>
        </w:tc>
        <w:tc>
          <w:tcPr>
            <w:tcW w:w="7694" w:type="dxa"/>
            <w:vMerge w:val="restart"/>
          </w:tcPr>
          <w:p w14:paraId="0722085D" w14:textId="5706B269" w:rsidR="00DA43CB" w:rsidRPr="00701BD3" w:rsidRDefault="00DA43CB" w:rsidP="00D9691A">
            <w:r>
              <w:t>I don’t know that there is a preferred model but rather finding a model that you are familiar with and comfortable using is the way to go</w:t>
            </w:r>
          </w:p>
        </w:tc>
      </w:tr>
      <w:tr w:rsidR="00DA43CB" w14:paraId="15855679" w14:textId="77777777" w:rsidTr="00D9691A">
        <w:tc>
          <w:tcPr>
            <w:tcW w:w="7694" w:type="dxa"/>
          </w:tcPr>
          <w:p w14:paraId="1B0EEA13" w14:textId="20104FA7" w:rsidR="00DA43CB" w:rsidRDefault="00DA43CB" w:rsidP="00D9691A">
            <w:r>
              <w:t>I</w:t>
            </w:r>
            <w:r w:rsidRPr="00D9691A">
              <w:t>s one model "better" than the other to use?</w:t>
            </w:r>
          </w:p>
        </w:tc>
        <w:tc>
          <w:tcPr>
            <w:tcW w:w="7694" w:type="dxa"/>
            <w:vMerge/>
          </w:tcPr>
          <w:p w14:paraId="26368B28" w14:textId="77777777" w:rsidR="00DA43CB" w:rsidRDefault="00DA43CB" w:rsidP="00D9691A"/>
        </w:tc>
      </w:tr>
      <w:tr w:rsidR="00EE5E77" w14:paraId="3DC36606" w14:textId="77777777" w:rsidTr="00D9691A">
        <w:tc>
          <w:tcPr>
            <w:tcW w:w="7694" w:type="dxa"/>
          </w:tcPr>
          <w:p w14:paraId="37532ABC" w14:textId="5744AF1C" w:rsidR="00EE5E77" w:rsidRDefault="00D9691A" w:rsidP="00D9691A">
            <w:r>
              <w:t>W</w:t>
            </w:r>
            <w:r w:rsidRPr="00D9691A">
              <w:t>hat can you tell us about the interactions of medications which have side effects that are then medicated for</w:t>
            </w:r>
            <w:r>
              <w:t>?</w:t>
            </w:r>
          </w:p>
        </w:tc>
        <w:tc>
          <w:tcPr>
            <w:tcW w:w="7694" w:type="dxa"/>
          </w:tcPr>
          <w:p w14:paraId="0C9B52C7" w14:textId="147BC926" w:rsidR="00EE5E77" w:rsidRDefault="00173A26">
            <w:r>
              <w:t>Each medicine is different and has a different side effect in different people. Whether to use it or not is a choice which requires a balance between benefits and harms.</w:t>
            </w:r>
          </w:p>
        </w:tc>
      </w:tr>
      <w:tr w:rsidR="00EE5E77" w14:paraId="7037BEAB" w14:textId="77777777" w:rsidTr="00D9691A">
        <w:tc>
          <w:tcPr>
            <w:tcW w:w="7694" w:type="dxa"/>
          </w:tcPr>
          <w:p w14:paraId="0C2DC3D5" w14:textId="28006AFD" w:rsidR="00EE5E77" w:rsidRDefault="00D9691A" w:rsidP="00D9691A">
            <w:r>
              <w:t xml:space="preserve">I would like to ask if Drs are visiting residents living with dementia in aged care if they request or enquire about the inclusion / recommending a Diversional Therapist be consulted to assist in meeting social, leisure , recreation , cultural and spiritual needs. As many RACFS. Do not employ degree qualified DTs and or Cert 4 Recreation Activity Officers. </w:t>
            </w:r>
            <w:r w:rsidR="00DA43CB">
              <w:t>Again,</w:t>
            </w:r>
            <w:r>
              <w:t xml:space="preserve"> I only ask as even the aged care commission has not listed DT as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allied health profession even though we are and exist..."</w:t>
            </w:r>
          </w:p>
        </w:tc>
        <w:tc>
          <w:tcPr>
            <w:tcW w:w="7694" w:type="dxa"/>
          </w:tcPr>
          <w:p w14:paraId="52BE7913" w14:textId="136F5D41" w:rsidR="00EE5E77" w:rsidRDefault="00701BD3" w:rsidP="00D9691A">
            <w:r>
              <w:t>I can’t really answer that but feel that diversional therapists would be ideal to assist in the care of people living with Dementia</w:t>
            </w:r>
          </w:p>
        </w:tc>
      </w:tr>
      <w:tr w:rsidR="00EE5E77" w14:paraId="1D21D05C" w14:textId="77777777" w:rsidTr="00D9691A">
        <w:tc>
          <w:tcPr>
            <w:tcW w:w="7694" w:type="dxa"/>
          </w:tcPr>
          <w:p w14:paraId="259A8E20" w14:textId="07B4A352" w:rsidR="00EE5E77" w:rsidRPr="00D9691A" w:rsidRDefault="00D9691A" w:rsidP="00D969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Would Michael have younger onset dementia which if he is under 65 would he get assistance to help the family adjust under the NDIS</w:t>
            </w:r>
          </w:p>
        </w:tc>
        <w:tc>
          <w:tcPr>
            <w:tcW w:w="7694" w:type="dxa"/>
          </w:tcPr>
          <w:p w14:paraId="354B1999" w14:textId="39614D28" w:rsidR="00EE5E77" w:rsidRDefault="00DA43CB" w:rsidP="00D9691A">
            <w:r>
              <w:t>Yes,</w:t>
            </w:r>
            <w:r w:rsidR="00701BD3">
              <w:t xml:space="preserve"> that is correct he would be eligible for support under the NDIS</w:t>
            </w:r>
          </w:p>
        </w:tc>
      </w:tr>
      <w:tr w:rsidR="00EE5E77" w14:paraId="06107911" w14:textId="77777777" w:rsidTr="00D9691A">
        <w:tc>
          <w:tcPr>
            <w:tcW w:w="7694" w:type="dxa"/>
          </w:tcPr>
          <w:p w14:paraId="354321BB" w14:textId="36D3ED8B" w:rsidR="00EE5E77" w:rsidRPr="00D9691A" w:rsidRDefault="00D9691A" w:rsidP="00D969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How to manage escalated behaviours when the patient is in danger to themselves/ fellow patients/ care staff. If diversion methods, reassurance, redirections, and reproaching with different staff members not effective in de-escalating those behaviours. This patient has high tolerance to pain medications and anxiety/ antipsychotic. If PRN medications given, this will impact their safety. </w:t>
            </w:r>
          </w:p>
        </w:tc>
        <w:tc>
          <w:tcPr>
            <w:tcW w:w="7694" w:type="dxa"/>
          </w:tcPr>
          <w:p w14:paraId="6B71C146" w14:textId="0D9E9474" w:rsidR="00EE5E77" w:rsidRDefault="00173A26" w:rsidP="00D9691A">
            <w:r>
              <w:t>As above, medication choice is often a balance between benefits and harms. This needs to be discussed also with family members, if it involves psychotropic medication.</w:t>
            </w:r>
            <w:r w:rsidR="00701BD3">
              <w:t xml:space="preserve"> Remember to document start date/efficacy and review date.</w:t>
            </w:r>
          </w:p>
        </w:tc>
      </w:tr>
      <w:tr w:rsidR="00D9691A" w14:paraId="270D406F" w14:textId="77777777" w:rsidTr="00D9691A">
        <w:tc>
          <w:tcPr>
            <w:tcW w:w="7694" w:type="dxa"/>
          </w:tcPr>
          <w:p w14:paraId="03E8741B" w14:textId="518F0F04" w:rsidR="00D9691A" w:rsidRDefault="00D9691A" w:rsidP="00D9691A">
            <w:pPr>
              <w:rPr>
                <w:rFonts w:ascii="Calibri" w:hAnsi="Calibri" w:cs="Calibri"/>
                <w:color w:val="000000"/>
              </w:rPr>
            </w:pPr>
            <w:r>
              <w:t>D</w:t>
            </w:r>
            <w:r w:rsidRPr="00F43F17">
              <w:t xml:space="preserve">o you support a functional integrated medicine to keep with complex chronic issues including dementia </w:t>
            </w:r>
            <w:r w:rsidR="00DA43CB" w:rsidRPr="00F43F17">
              <w:t>well?</w:t>
            </w:r>
          </w:p>
        </w:tc>
        <w:tc>
          <w:tcPr>
            <w:tcW w:w="7694" w:type="dxa"/>
          </w:tcPr>
          <w:p w14:paraId="07BADF18" w14:textId="1776FA03" w:rsidR="00D9691A" w:rsidRDefault="00701BD3" w:rsidP="00D9691A">
            <w:r>
              <w:t>I am unclear exactly wha</w:t>
            </w:r>
            <w:r w:rsidR="00DA43CB">
              <w:t>t</w:t>
            </w:r>
            <w:r>
              <w:t xml:space="preserve"> is </w:t>
            </w:r>
            <w:r w:rsidR="00DA43CB">
              <w:t>meant</w:t>
            </w:r>
            <w:r>
              <w:t xml:space="preserve"> her</w:t>
            </w:r>
            <w:r w:rsidR="00DA43CB">
              <w:t>e</w:t>
            </w:r>
          </w:p>
        </w:tc>
      </w:tr>
      <w:tr w:rsidR="00D9691A" w14:paraId="1A2181BA" w14:textId="77777777" w:rsidTr="00D9691A">
        <w:tc>
          <w:tcPr>
            <w:tcW w:w="7694" w:type="dxa"/>
          </w:tcPr>
          <w:p w14:paraId="13CB1FA2" w14:textId="7C841C9C" w:rsidR="00D9691A" w:rsidRDefault="00D9691A" w:rsidP="00D9691A">
            <w:pPr>
              <w:rPr>
                <w:rFonts w:ascii="Calibri" w:hAnsi="Calibri" w:cs="Calibri"/>
                <w:color w:val="000000"/>
              </w:rPr>
            </w:pPr>
            <w:r w:rsidRPr="00F43F17">
              <w:t>I have noticed that my some of my bilingual patients tend to lose their second language. Is this common?</w:t>
            </w:r>
          </w:p>
        </w:tc>
        <w:tc>
          <w:tcPr>
            <w:tcW w:w="7694" w:type="dxa"/>
          </w:tcPr>
          <w:p w14:paraId="728958D3" w14:textId="1B41B1E2" w:rsidR="00D9691A" w:rsidRDefault="00DA43CB" w:rsidP="00D9691A">
            <w:r>
              <w:t>Yes, it is</w:t>
            </w:r>
            <w:r w:rsidR="00173A26">
              <w:t xml:space="preserve"> common for people to re</w:t>
            </w:r>
            <w:r>
              <w:t>v</w:t>
            </w:r>
            <w:r w:rsidR="00173A26">
              <w:t xml:space="preserve">ert to the language of their </w:t>
            </w:r>
            <w:r>
              <w:t>childhood and</w:t>
            </w:r>
            <w:r w:rsidR="00173A26">
              <w:t xml:space="preserve"> forg</w:t>
            </w:r>
            <w:r>
              <w:t>e</w:t>
            </w:r>
            <w:r w:rsidR="00173A26">
              <w:t xml:space="preserve">t language that was learned </w:t>
            </w:r>
            <w:proofErr w:type="gramStart"/>
            <w:r w:rsidR="00173A26">
              <w:t>later on</w:t>
            </w:r>
            <w:proofErr w:type="gramEnd"/>
            <w:r w:rsidR="00173A26">
              <w:t>.</w:t>
            </w:r>
          </w:p>
        </w:tc>
      </w:tr>
      <w:tr w:rsidR="00D9691A" w14:paraId="2312A10B" w14:textId="77777777" w:rsidTr="00D9691A">
        <w:tc>
          <w:tcPr>
            <w:tcW w:w="7694" w:type="dxa"/>
          </w:tcPr>
          <w:p w14:paraId="7D675696" w14:textId="0AB5859C" w:rsidR="00D9691A" w:rsidRDefault="00D9691A" w:rsidP="00D9691A">
            <w:pPr>
              <w:rPr>
                <w:rFonts w:ascii="Calibri" w:hAnsi="Calibri" w:cs="Calibri"/>
                <w:color w:val="000000"/>
              </w:rPr>
            </w:pPr>
            <w:r w:rsidRPr="003161BC">
              <w:t>Could a person like Anna just be just feeling lonely isolated and a bit scary in the flat at the bottom of the garden when she wakes up in the dark in the middle of the night</w:t>
            </w:r>
            <w:r>
              <w:t>?</w:t>
            </w:r>
          </w:p>
        </w:tc>
        <w:tc>
          <w:tcPr>
            <w:tcW w:w="7694" w:type="dxa"/>
          </w:tcPr>
          <w:p w14:paraId="0071A6A4" w14:textId="14B6E81A" w:rsidR="00D9691A" w:rsidRDefault="00173A26" w:rsidP="00D9691A">
            <w:r>
              <w:t>She definitely could be feeling like that!</w:t>
            </w:r>
          </w:p>
        </w:tc>
      </w:tr>
      <w:tr w:rsidR="00D9691A" w14:paraId="4DF2E430" w14:textId="77777777" w:rsidTr="00E62598">
        <w:trPr>
          <w:cantSplit/>
        </w:trPr>
        <w:tc>
          <w:tcPr>
            <w:tcW w:w="7694" w:type="dxa"/>
          </w:tcPr>
          <w:p w14:paraId="3765BD3C" w14:textId="43169429" w:rsidR="00D9691A" w:rsidRDefault="003D43C4" w:rsidP="00D9691A">
            <w:pPr>
              <w:rPr>
                <w:rFonts w:ascii="Calibri" w:hAnsi="Calibri" w:cs="Calibri"/>
                <w:color w:val="000000"/>
              </w:rPr>
            </w:pPr>
            <w:r>
              <w:lastRenderedPageBreak/>
              <w:t>D</w:t>
            </w:r>
            <w:r w:rsidR="00D9691A" w:rsidRPr="003161BC">
              <w:t>o you support an person being sleep tested as a routine-- to find if sleep apn</w:t>
            </w:r>
            <w:r w:rsidR="00D9691A">
              <w:t>o</w:t>
            </w:r>
            <w:r w:rsidR="00D9691A" w:rsidRPr="003161BC">
              <w:t>ea is an issue - it can be centrally driven sleep apn</w:t>
            </w:r>
            <w:r w:rsidR="00D9691A">
              <w:t>o</w:t>
            </w:r>
            <w:r w:rsidR="00D9691A" w:rsidRPr="003161BC">
              <w:t xml:space="preserve">ea in people with dementia  -- oxygen </w:t>
            </w:r>
            <w:proofErr w:type="spellStart"/>
            <w:r w:rsidR="00D9691A" w:rsidRPr="003161BC">
              <w:t>sats</w:t>
            </w:r>
            <w:proofErr w:type="spellEnd"/>
            <w:r w:rsidR="00D9691A" w:rsidRPr="003161BC">
              <w:t xml:space="preserve"> plummet to </w:t>
            </w:r>
            <w:r w:rsidR="00DA43CB">
              <w:t xml:space="preserve">average </w:t>
            </w:r>
            <w:r w:rsidR="00D9691A" w:rsidRPr="003161BC">
              <w:t>83% down to 70% without snoring   -- with nigh</w:t>
            </w:r>
            <w:r>
              <w:t>t</w:t>
            </w:r>
            <w:r w:rsidR="00D9691A" w:rsidRPr="003161BC">
              <w:t xml:space="preserve">ly nasal </w:t>
            </w:r>
            <w:r w:rsidR="00024A0D">
              <w:t>CPAP I</w:t>
            </w:r>
            <w:r w:rsidR="00D9691A" w:rsidRPr="003161BC">
              <w:t xml:space="preserve"> have improved cognitively   now </w:t>
            </w:r>
            <w:r w:rsidR="00DA43CB">
              <w:t>average</w:t>
            </w:r>
            <w:r w:rsidR="00D9691A" w:rsidRPr="003161BC">
              <w:t xml:space="preserve"> 94% --but only have spinal </w:t>
            </w:r>
            <w:r w:rsidRPr="003161BC">
              <w:t>anaesthe</w:t>
            </w:r>
            <w:r>
              <w:t>s</w:t>
            </w:r>
            <w:r w:rsidRPr="003161BC">
              <w:t>ia</w:t>
            </w:r>
            <w:r w:rsidR="00D9691A" w:rsidRPr="003161BC">
              <w:t xml:space="preserve">  as my O 2 Sats</w:t>
            </w:r>
            <w:r w:rsidR="00024A0D">
              <w:t>.</w:t>
            </w:r>
            <w:r w:rsidR="00D9691A" w:rsidRPr="003161BC">
              <w:t xml:space="preserve"> -plummet with even a twil</w:t>
            </w:r>
            <w:r>
              <w:t>i</w:t>
            </w:r>
            <w:r w:rsidR="00D9691A" w:rsidRPr="003161BC">
              <w:t>ght dose</w:t>
            </w:r>
          </w:p>
        </w:tc>
        <w:tc>
          <w:tcPr>
            <w:tcW w:w="7694" w:type="dxa"/>
          </w:tcPr>
          <w:p w14:paraId="55197D90" w14:textId="31950056" w:rsidR="00D9691A" w:rsidRDefault="00173A26" w:rsidP="00D9691A">
            <w:r>
              <w:t>The guidelines do not recommend screening for sleep apnoea as this suggests. However, it certainly should be looked for if ther</w:t>
            </w:r>
            <w:r w:rsidR="00701BD3">
              <w:t>e</w:t>
            </w:r>
            <w:r>
              <w:t xml:space="preserve"> are sy</w:t>
            </w:r>
            <w:r w:rsidR="00701BD3">
              <w:t>m</w:t>
            </w:r>
            <w:r>
              <w:t>ptoms such as daytime sleepiness which suggest it is a possibility.</w:t>
            </w:r>
          </w:p>
        </w:tc>
      </w:tr>
      <w:tr w:rsidR="00D9691A" w14:paraId="2477ABE0" w14:textId="77777777" w:rsidTr="00D9691A">
        <w:tc>
          <w:tcPr>
            <w:tcW w:w="7694" w:type="dxa"/>
          </w:tcPr>
          <w:p w14:paraId="7B056AB7" w14:textId="64E5C1F9" w:rsidR="00D9691A" w:rsidRDefault="00D9691A" w:rsidP="00D9691A">
            <w:pPr>
              <w:rPr>
                <w:rFonts w:ascii="Calibri" w:hAnsi="Calibri" w:cs="Calibri"/>
                <w:color w:val="000000"/>
              </w:rPr>
            </w:pPr>
            <w:r w:rsidRPr="003161BC">
              <w:t>Is hyper sexuality and/or inappropriate language a sign of dementia?</w:t>
            </w:r>
          </w:p>
        </w:tc>
        <w:tc>
          <w:tcPr>
            <w:tcW w:w="7694" w:type="dxa"/>
          </w:tcPr>
          <w:p w14:paraId="19DBE89E" w14:textId="5C6E40DA" w:rsidR="00D9691A" w:rsidRDefault="00173A26">
            <w:r>
              <w:t>With dementia, people often lose their inhibitions and may express their sexuality or use language in ways which are inappropriate to the social setting.</w:t>
            </w:r>
          </w:p>
        </w:tc>
      </w:tr>
      <w:tr w:rsidR="00D9691A" w14:paraId="786240A2" w14:textId="77777777" w:rsidTr="00D9691A">
        <w:tc>
          <w:tcPr>
            <w:tcW w:w="7694" w:type="dxa"/>
          </w:tcPr>
          <w:p w14:paraId="3CFF1016" w14:textId="4918161F" w:rsidR="00D9691A" w:rsidRDefault="00D9691A" w:rsidP="00D9691A">
            <w:pPr>
              <w:rPr>
                <w:rFonts w:ascii="Calibri" w:hAnsi="Calibri" w:cs="Calibri"/>
                <w:color w:val="000000"/>
              </w:rPr>
            </w:pPr>
            <w:r w:rsidRPr="00E1408D">
              <w:t>Have you researched the possibility of taking most of the medications away and using non</w:t>
            </w:r>
            <w:r w:rsidR="003D43C4">
              <w:t>-</w:t>
            </w:r>
            <w:r w:rsidRPr="00E1408D">
              <w:t>pharmacological methods instead?</w:t>
            </w:r>
          </w:p>
        </w:tc>
        <w:tc>
          <w:tcPr>
            <w:tcW w:w="7694" w:type="dxa"/>
          </w:tcPr>
          <w:p w14:paraId="7FF217DB" w14:textId="11325D31" w:rsidR="00D9691A" w:rsidRDefault="00701BD3" w:rsidP="00D9691A">
            <w:r>
              <w:t>We have not researched this but</w:t>
            </w:r>
            <w:r w:rsidR="00DA43CB">
              <w:t>- research</w:t>
            </w:r>
            <w:r>
              <w:t xml:space="preserve"> has been done to look at deprescribing medications and trying </w:t>
            </w:r>
            <w:r w:rsidR="00DA43CB">
              <w:t>non-pharmacological</w:t>
            </w:r>
            <w:r>
              <w:t xml:space="preserve"> approaches and this is the preferred option</w:t>
            </w:r>
          </w:p>
          <w:p w14:paraId="2018F456" w14:textId="06EC9608" w:rsidR="00701BD3" w:rsidRDefault="00701BD3" w:rsidP="00D9691A">
            <w:r>
              <w:t xml:space="preserve">We should always view pharmacological treatment as an </w:t>
            </w:r>
            <w:r w:rsidR="00DA43CB">
              <w:t>adjunct</w:t>
            </w:r>
            <w:r>
              <w:t xml:space="preserve"> to </w:t>
            </w:r>
            <w:r w:rsidR="00DA43CB">
              <w:t>non-pharm</w:t>
            </w:r>
            <w:r>
              <w:t xml:space="preserve"> and as </w:t>
            </w:r>
            <w:r w:rsidR="00024A0D">
              <w:t>short-term</w:t>
            </w:r>
            <w:r>
              <w:t xml:space="preserve"> options</w:t>
            </w:r>
          </w:p>
        </w:tc>
      </w:tr>
      <w:tr w:rsidR="00D9691A" w14:paraId="5D9CD10D" w14:textId="77777777" w:rsidTr="00D9691A">
        <w:tc>
          <w:tcPr>
            <w:tcW w:w="7694" w:type="dxa"/>
          </w:tcPr>
          <w:p w14:paraId="782FC128" w14:textId="09677106" w:rsidR="00D9691A" w:rsidRDefault="003D43C4" w:rsidP="00D9691A">
            <w:pPr>
              <w:rPr>
                <w:rFonts w:ascii="Calibri" w:hAnsi="Calibri" w:cs="Calibri"/>
                <w:color w:val="000000"/>
              </w:rPr>
            </w:pPr>
            <w:r>
              <w:t>W</w:t>
            </w:r>
            <w:r w:rsidR="00D9691A" w:rsidRPr="00E1408D">
              <w:t>hy are aged care facilities usually quick to use medications like risperidone to control the residents because the staff say they don</w:t>
            </w:r>
            <w:r>
              <w:t>’</w:t>
            </w:r>
            <w:r w:rsidR="00D9691A" w:rsidRPr="00E1408D">
              <w:t>t have enough time to try other methods</w:t>
            </w:r>
          </w:p>
        </w:tc>
        <w:tc>
          <w:tcPr>
            <w:tcW w:w="7694" w:type="dxa"/>
          </w:tcPr>
          <w:p w14:paraId="428F27D6" w14:textId="2A91EE64" w:rsidR="00701BD3" w:rsidRDefault="00701BD3" w:rsidP="00D9691A">
            <w:r>
              <w:t xml:space="preserve">This is a very complex question which probable needs a royal commission to </w:t>
            </w:r>
            <w:r w:rsidR="00DA43CB">
              <w:t>answer!!</w:t>
            </w:r>
          </w:p>
          <w:p w14:paraId="5B1206D4" w14:textId="3B733790" w:rsidR="00D9691A" w:rsidRDefault="00701BD3" w:rsidP="00D9691A">
            <w:r>
              <w:t xml:space="preserve">Often this can be the case or not having the familiarity with tools – I think more education/training/funding/staff are needed to really improve the management of behavioural changes </w:t>
            </w:r>
          </w:p>
        </w:tc>
      </w:tr>
      <w:tr w:rsidR="00D9691A" w14:paraId="5C2F1296" w14:textId="77777777" w:rsidTr="00D9691A">
        <w:tc>
          <w:tcPr>
            <w:tcW w:w="7694" w:type="dxa"/>
          </w:tcPr>
          <w:p w14:paraId="7F7ADF3B" w14:textId="524E0534" w:rsidR="00D9691A" w:rsidRDefault="00D9691A" w:rsidP="00D9691A">
            <w:pPr>
              <w:rPr>
                <w:rFonts w:ascii="Calibri" w:hAnsi="Calibri" w:cs="Calibri"/>
                <w:color w:val="000000"/>
              </w:rPr>
            </w:pPr>
            <w:r w:rsidRPr="00E1408D">
              <w:t>Can we use picture that describe pains a patient experience if she doesn’t too talk</w:t>
            </w:r>
          </w:p>
        </w:tc>
        <w:tc>
          <w:tcPr>
            <w:tcW w:w="7694" w:type="dxa"/>
          </w:tcPr>
          <w:p w14:paraId="27D2C728" w14:textId="4704FDF8" w:rsidR="00D9691A" w:rsidRDefault="00701BD3" w:rsidP="00D9691A">
            <w:r>
              <w:t xml:space="preserve">The Abbey Pain </w:t>
            </w:r>
            <w:r w:rsidR="00DA43CB">
              <w:t>Scale is</w:t>
            </w:r>
            <w:r>
              <w:t xml:space="preserve"> a tool specifically developed for </w:t>
            </w:r>
            <w:r w:rsidR="00DA43CB">
              <w:t>non-verbal</w:t>
            </w:r>
            <w:r>
              <w:t xml:space="preserve"> people with dementia</w:t>
            </w:r>
          </w:p>
        </w:tc>
      </w:tr>
      <w:tr w:rsidR="00D9691A" w14:paraId="2310ECEA" w14:textId="77777777" w:rsidTr="00D9691A">
        <w:tc>
          <w:tcPr>
            <w:tcW w:w="7694" w:type="dxa"/>
          </w:tcPr>
          <w:p w14:paraId="2F41F70A" w14:textId="187E29DA" w:rsidR="00D9691A" w:rsidRDefault="00D9691A" w:rsidP="00D9691A">
            <w:pPr>
              <w:rPr>
                <w:rFonts w:ascii="Calibri" w:hAnsi="Calibri" w:cs="Calibri"/>
                <w:color w:val="000000"/>
              </w:rPr>
            </w:pPr>
            <w:r w:rsidRPr="00E1408D">
              <w:t xml:space="preserve">I have noticed that most of elderly in aged care has mild to moderate cognitive impairment and as well as dementia. Could you please differentiate cognitive impairment and </w:t>
            </w:r>
            <w:r w:rsidR="003D43C4" w:rsidRPr="00E1408D">
              <w:t>dementia?</w:t>
            </w:r>
            <w:r w:rsidRPr="00E1408D">
              <w:t xml:space="preserve">  </w:t>
            </w:r>
            <w:r w:rsidR="003D43C4">
              <w:t>W</w:t>
            </w:r>
            <w:r w:rsidRPr="00E1408D">
              <w:t>ill there be different behavioural appr</w:t>
            </w:r>
            <w:r w:rsidR="003D43C4">
              <w:t>oa</w:t>
            </w:r>
            <w:r w:rsidRPr="00E1408D">
              <w:t>ch for the cognitive impairment and the dementia?</w:t>
            </w:r>
          </w:p>
        </w:tc>
        <w:tc>
          <w:tcPr>
            <w:tcW w:w="7694" w:type="dxa"/>
          </w:tcPr>
          <w:p w14:paraId="10AEF59B" w14:textId="7B1F6261" w:rsidR="00D9691A" w:rsidRDefault="00173A26" w:rsidP="00D9691A">
            <w:r>
              <w:t xml:space="preserve">Mild cognitive impairment does not meet the criteria for dementia, which is more severe. For </w:t>
            </w:r>
            <w:r w:rsidR="00DA43CB">
              <w:t>example,</w:t>
            </w:r>
            <w:r>
              <w:t xml:space="preserve"> people with mild cognitive impairment are generally still able to look after themselves in basic ways, whereas this may</w:t>
            </w:r>
            <w:r w:rsidR="00DA43CB">
              <w:t xml:space="preserve"> </w:t>
            </w:r>
            <w:r>
              <w:t xml:space="preserve">not apply to people with dementia.  </w:t>
            </w:r>
          </w:p>
        </w:tc>
      </w:tr>
      <w:tr w:rsidR="00D9691A" w14:paraId="1FE5D93B" w14:textId="77777777" w:rsidTr="00D9691A">
        <w:tc>
          <w:tcPr>
            <w:tcW w:w="7694" w:type="dxa"/>
          </w:tcPr>
          <w:p w14:paraId="54329629" w14:textId="7CAC353D" w:rsidR="00D9691A" w:rsidRDefault="003D43C4" w:rsidP="00D9691A">
            <w:pPr>
              <w:rPr>
                <w:rFonts w:ascii="Calibri" w:hAnsi="Calibri" w:cs="Calibri"/>
                <w:color w:val="000000"/>
              </w:rPr>
            </w:pPr>
            <w:r>
              <w:t>A</w:t>
            </w:r>
            <w:r w:rsidR="00D9691A" w:rsidRPr="00E1408D">
              <w:t>re there medic</w:t>
            </w:r>
            <w:r>
              <w:t>a</w:t>
            </w:r>
            <w:r w:rsidR="00D9691A" w:rsidRPr="00E1408D">
              <w:t xml:space="preserve">tions that have a risk of causing </w:t>
            </w:r>
            <w:r w:rsidR="00DA43CB" w:rsidRPr="00E1408D">
              <w:t>deme</w:t>
            </w:r>
            <w:r w:rsidR="00DA43CB">
              <w:t>n</w:t>
            </w:r>
            <w:r w:rsidR="00DA43CB" w:rsidRPr="00E1408D">
              <w:t>tia?</w:t>
            </w:r>
          </w:p>
        </w:tc>
        <w:tc>
          <w:tcPr>
            <w:tcW w:w="7694" w:type="dxa"/>
          </w:tcPr>
          <w:p w14:paraId="33B773E5" w14:textId="4E236770" w:rsidR="00D9691A" w:rsidRDefault="00173A26">
            <w:r>
              <w:t>Anticholinergic medicines and psychotropics may cause the person to look as though they have dementia, but this reverses if the medications are ceased.</w:t>
            </w:r>
          </w:p>
        </w:tc>
      </w:tr>
      <w:tr w:rsidR="00D9691A" w14:paraId="30326461" w14:textId="77777777" w:rsidTr="00D9691A">
        <w:tc>
          <w:tcPr>
            <w:tcW w:w="7694" w:type="dxa"/>
          </w:tcPr>
          <w:p w14:paraId="33AD82A4" w14:textId="1CA7ED9E" w:rsidR="00D9691A" w:rsidRDefault="003D43C4" w:rsidP="00D9691A">
            <w:pPr>
              <w:rPr>
                <w:rFonts w:ascii="Calibri" w:hAnsi="Calibri" w:cs="Calibri"/>
                <w:color w:val="000000"/>
              </w:rPr>
            </w:pPr>
            <w:r>
              <w:t>W</w:t>
            </w:r>
            <w:r w:rsidR="00D9691A" w:rsidRPr="00E1408D">
              <w:t xml:space="preserve">hat do you do when a wife will not let you remove or even consider reducing risperidone. the risks including death are explained and she doesn't want the </w:t>
            </w:r>
            <w:r>
              <w:t>D</w:t>
            </w:r>
            <w:r w:rsidR="00D9691A" w:rsidRPr="00E1408D">
              <w:t>r to ever cease it or reduce it or even review it</w:t>
            </w:r>
          </w:p>
        </w:tc>
        <w:tc>
          <w:tcPr>
            <w:tcW w:w="7694" w:type="dxa"/>
          </w:tcPr>
          <w:p w14:paraId="2279A818" w14:textId="29313230" w:rsidR="00D9691A" w:rsidRDefault="00173A26">
            <w:r>
              <w:t>The doctor would need to explain that reviewing it is a requirement for ongoing prescription of the medication.</w:t>
            </w:r>
          </w:p>
        </w:tc>
      </w:tr>
    </w:tbl>
    <w:p w14:paraId="282BFD6A" w14:textId="77777777" w:rsidR="00EE5E77" w:rsidRDefault="00EE5E77" w:rsidP="00EE5E77">
      <w:pPr>
        <w:jc w:val="center"/>
      </w:pPr>
    </w:p>
    <w:sectPr w:rsidR="00EE5E77" w:rsidSect="00EE5E77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2F98C" w14:textId="77777777" w:rsidR="000624EB" w:rsidRDefault="000624EB" w:rsidP="00EE5E77">
      <w:pPr>
        <w:spacing w:after="0" w:line="240" w:lineRule="auto"/>
      </w:pPr>
      <w:r>
        <w:separator/>
      </w:r>
    </w:p>
  </w:endnote>
  <w:endnote w:type="continuationSeparator" w:id="0">
    <w:p w14:paraId="315C1705" w14:textId="77777777" w:rsidR="000624EB" w:rsidRDefault="000624EB" w:rsidP="00EE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1E489" w14:textId="77777777" w:rsidR="000624EB" w:rsidRDefault="000624EB" w:rsidP="00EE5E77">
      <w:pPr>
        <w:spacing w:after="0" w:line="240" w:lineRule="auto"/>
      </w:pPr>
      <w:r>
        <w:separator/>
      </w:r>
    </w:p>
  </w:footnote>
  <w:footnote w:type="continuationSeparator" w:id="0">
    <w:p w14:paraId="3E40A950" w14:textId="77777777" w:rsidR="000624EB" w:rsidRDefault="000624EB" w:rsidP="00EE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B670A" w14:textId="77777777" w:rsidR="00EE5E77" w:rsidRDefault="00EE5E77" w:rsidP="00EE5E77">
    <w:pPr>
      <w:pStyle w:val="Header"/>
    </w:pPr>
    <w:r>
      <w:rPr>
        <w:noProof/>
        <w:lang w:eastAsia="en-AU"/>
      </w:rPr>
      <w:drawing>
        <wp:inline distT="0" distB="0" distL="0" distR="0" wp14:anchorId="7A1AEE73" wp14:editId="763AB9D8">
          <wp:extent cx="880056" cy="412124"/>
          <wp:effectExtent l="0" t="0" r="0" b="6985"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14307D0B-25BE-44B8-99A5-5AB0835EB31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14307D0B-25BE-44B8-99A5-5AB0835EB31C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875" cy="454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77"/>
    <w:rsid w:val="00024A0D"/>
    <w:rsid w:val="000624EB"/>
    <w:rsid w:val="00173A26"/>
    <w:rsid w:val="003D43C4"/>
    <w:rsid w:val="00701BD3"/>
    <w:rsid w:val="009E0E8C"/>
    <w:rsid w:val="00C84A25"/>
    <w:rsid w:val="00D52F00"/>
    <w:rsid w:val="00D9541E"/>
    <w:rsid w:val="00D9691A"/>
    <w:rsid w:val="00DA43CB"/>
    <w:rsid w:val="00E62598"/>
    <w:rsid w:val="00EE5E77"/>
    <w:rsid w:val="00F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8E47"/>
  <w15:chartTrackingRefBased/>
  <w15:docId w15:val="{232CAAE2-67F7-4CD8-8C6D-11F255AA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77"/>
  </w:style>
  <w:style w:type="paragraph" w:styleId="Footer">
    <w:name w:val="footer"/>
    <w:basedOn w:val="Normal"/>
    <w:link w:val="FooterChar"/>
    <w:uiPriority w:val="99"/>
    <w:unhideWhenUsed/>
    <w:rsid w:val="00EE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E77"/>
  </w:style>
  <w:style w:type="table" w:styleId="TableGrid">
    <w:name w:val="Table Grid"/>
    <w:basedOn w:val="TableNormal"/>
    <w:uiPriority w:val="39"/>
    <w:rsid w:val="00EE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B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Winbolt</dc:creator>
  <cp:keywords/>
  <dc:description/>
  <cp:lastModifiedBy>Margaret Winbolt</cp:lastModifiedBy>
  <cp:revision>4</cp:revision>
  <dcterms:created xsi:type="dcterms:W3CDTF">2021-04-16T04:17:00Z</dcterms:created>
  <dcterms:modified xsi:type="dcterms:W3CDTF">2021-04-16T04:19:00Z</dcterms:modified>
</cp:coreProperties>
</file>